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  <w:t>Terms of reference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The European DDC Users Group (EDUG) - 340 Law Working Group</w:t>
      </w:r>
    </w:p>
    <w:p w:rsidR="000620C1" w:rsidRPr="0044421A" w:rsidRDefault="000620C1" w:rsidP="00062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exists to improve the 340 Law provision for legal systems in Europe rooted in civil law;</w:t>
      </w:r>
    </w:p>
    <w:p w:rsidR="000620C1" w:rsidRPr="0044421A" w:rsidRDefault="000620C1" w:rsidP="00062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gives recommendations to the EPC and the Dewey editorial team;</w:t>
      </w:r>
    </w:p>
    <w:p w:rsidR="000620C1" w:rsidRPr="0044421A" w:rsidRDefault="000620C1" w:rsidP="000620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reports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about proposals at EDUG's annual business meeting.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Improvements in DDC 340 should be realistic expansions, relocations, add notes or entries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on the basis of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existing classes according to the literary warrant in Europe. There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could not be created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 neutral classification scheme for civil and common law. The aim is to make sure that every European law topic fits somewhere in the DDC 340 classes.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The focus restricted to the European viewpoint, proposals should emphasize: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Differences between civil and common law within the branches of law and the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sources, also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within the legal profession.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Treatment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administrative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law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Treatment of penal law and criminology.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Treatment of European Union law.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Better organization of 343 Military, defense, public property, public finance, tax, commerce (trade), industrial law.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Better organization of 346 private law.</w:t>
      </w:r>
    </w:p>
    <w:p w:rsidR="000620C1" w:rsidRPr="0044421A" w:rsidRDefault="000620C1" w:rsidP="000620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Expansions for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courts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For further information about the background to the group, see OCLC's </w:t>
      </w:r>
      <w:hyperlink r:id="rId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Proposal for 3</w:t>
        </w:r>
        <w:bookmarkStart w:id="0" w:name="_GoBack"/>
        <w:bookmarkEnd w:id="0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40 working group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bookmarkStart w:id="1" w:name="Tim"/>
      <w:bookmarkEnd w:id="1"/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Timetable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working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plan, meetings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20 Aug 2007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First meeting of the group at WLIC 2007, Durban, South Africa. An </w:t>
      </w:r>
      <w:hyperlink r:id="rId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informal 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is available.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OCLC's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hyperlink r:id="rId7" w:tgtFrame="_blank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Proposal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for 340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working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group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was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discussed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9 Apr 2008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EDUG's annual business meeting, Frankfurt, Germany. An </w:t>
      </w:r>
      <w:hyperlink r:id="rId8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agenda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is available. A brief report of the meeting is included in the </w:t>
      </w:r>
      <w:hyperlink r:id="rId9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minutes of the EDUG annual meeting 2008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Nov 2008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The Decimal Classification Editorial Policy Committee discussed </w:t>
      </w:r>
      <w:hyperlink r:id="rId10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selected proposals of EDUG 340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at their EPC 130 meeting.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12 Aug 2008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Meeting of the group at WLIC 2008, Québec City, Canada.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27 Apr 2009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lastRenderedPageBreak/>
        <w:t xml:space="preserve">Meeting of the group at EDUG's annual business meeting, Vienna, Austria.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brief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hyperlink r:id="rId11" w:tgtFrame="_blank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report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of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the meeting</w:t>
        </w:r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is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available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6 Aug 2009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Proposals on EU law, criminal courts and other civil law matters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were sent out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for review.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20 Aug 2009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an IFLA WLIC satellite meeting, Florence.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A </w:t>
      </w:r>
      <w:hyperlink r:id="rId12" w:tgtFrame="_blank" w:history="1"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report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is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available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16-17 Nov 2009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The Working Group chair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was invited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to discuss EDUG proposals with the EPC members at EPC 132 in Washington, D.C.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18 Nov 2009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with the DDC editors on selected topics. A short </w:t>
      </w:r>
      <w:hyperlink r:id="rId13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summary report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is available.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8 Apr 2010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The EDUG 2009 proposals became </w:t>
      </w:r>
      <w:hyperlink r:id="rId14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133-17.1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0620C1" w:rsidRPr="0044421A" w:rsidRDefault="000620C1" w:rsidP="000620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11 Aug 2010 </w:t>
      </w:r>
    </w:p>
    <w:p w:rsidR="000620C1" w:rsidRPr="0044421A" w:rsidRDefault="000620C1" w:rsidP="000620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WLIC 2010, Gothenburg, Sweden. A proposal for the </w:t>
      </w:r>
      <w:hyperlink r:id="rId1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revision of DDC 346 Private law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will be discussed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0620C1" w:rsidRPr="0044421A" w:rsidRDefault="000620C1" w:rsidP="000620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bookmarkStart w:id="2" w:name="Mem"/>
      <w:bookmarkEnd w:id="2"/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Members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the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working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group</w:t>
      </w:r>
      <w:proofErr w:type="spellEnd"/>
    </w:p>
    <w:p w:rsidR="000620C1" w:rsidRPr="0044421A" w:rsidRDefault="000620C1" w:rsidP="0006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 xml:space="preserve">Yvonne </w:t>
      </w: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val="en-US" w:eastAsia="sv-SE"/>
        </w:rPr>
        <w:t>Jahns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Deutsche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Nationalbibliothek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(chair)</w:t>
      </w:r>
    </w:p>
    <w:p w:rsidR="000620C1" w:rsidRPr="0044421A" w:rsidRDefault="000620C1" w:rsidP="000620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>Federica</w:t>
      </w:r>
      <w:proofErr w:type="spellEnd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color w:val="996600"/>
          <w:sz w:val="21"/>
          <w:szCs w:val="21"/>
          <w:lang w:eastAsia="sv-SE"/>
        </w:rPr>
        <w:t>Paradisi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Biblioteca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nazionale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centrale di Firenze</w:t>
      </w:r>
    </w:p>
    <w:p w:rsidR="00B672B5" w:rsidRDefault="000620C1"/>
    <w:sectPr w:rsidR="00B6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860"/>
    <w:multiLevelType w:val="multilevel"/>
    <w:tmpl w:val="391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45DCD"/>
    <w:multiLevelType w:val="multilevel"/>
    <w:tmpl w:val="85EC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9481C"/>
    <w:multiLevelType w:val="multilevel"/>
    <w:tmpl w:val="448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E40AE"/>
    <w:multiLevelType w:val="multilevel"/>
    <w:tmpl w:val="079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20C1"/>
    <w:rsid w:val="0017179E"/>
    <w:rsid w:val="002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1EAB-BB4E-4F20-A217-5353E39F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C1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inte.org.uk/edug/edug340/docs/EDUG340-EDUG2008-Agenda.pdf" TargetMode="External"/><Relationship Id="rId13" Type="http://schemas.openxmlformats.org/officeDocument/2006/relationships/hyperlink" Target="http://www.slainte.org.uk/edug/edug340/docs/EDUG340-EPC132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ainte.org.uk/edug/edug340/docs/EDUG340-Proposal.pdf" TargetMode="External"/><Relationship Id="rId12" Type="http://schemas.openxmlformats.org/officeDocument/2006/relationships/hyperlink" Target="http://www.slainte.org.uk/edug/edug340/docs/EDUG340-Florence2009-repor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lainte.org.uk/edug/edug340/docs/EDUG340-WLIC2007-Agenda.pdf" TargetMode="External"/><Relationship Id="rId11" Type="http://schemas.openxmlformats.org/officeDocument/2006/relationships/hyperlink" Target="http://www.slainte.org.uk/edug/edug340/docs/EPC131-18.1.pdf" TargetMode="External"/><Relationship Id="rId5" Type="http://schemas.openxmlformats.org/officeDocument/2006/relationships/hyperlink" Target="http://www.slainte.org.uk/edug/edug340/docs/edug340-proposal.pdf" TargetMode="External"/><Relationship Id="rId15" Type="http://schemas.openxmlformats.org/officeDocument/2006/relationships/hyperlink" Target="http://www.slainte.org.uk/edug/edug340/docs/EDUG340-346-Rev-01.pdf" TargetMode="External"/><Relationship Id="rId10" Type="http://schemas.openxmlformats.org/officeDocument/2006/relationships/hyperlink" Target="http://www.slainte.org.uk/edug/edug340/docs/EPC130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inte.org.uk/edug/docs/mins/EDUG_2008_minutes.pdf" TargetMode="External"/><Relationship Id="rId14" Type="http://schemas.openxmlformats.org/officeDocument/2006/relationships/hyperlink" Target="http://www.slainte.org.uk/edug/edug340/docs/EPC133-17.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Kungliga biblioteket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Aagaard</dc:creator>
  <cp:keywords/>
  <dc:description/>
  <cp:lastModifiedBy>Harriet Aagaard</cp:lastModifiedBy>
  <cp:revision>1</cp:revision>
  <dcterms:created xsi:type="dcterms:W3CDTF">2019-11-18T11:49:00Z</dcterms:created>
  <dcterms:modified xsi:type="dcterms:W3CDTF">2019-11-18T11:50:00Z</dcterms:modified>
</cp:coreProperties>
</file>